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2583C" w14:textId="77777777" w:rsidR="00676B86" w:rsidRPr="00207176" w:rsidRDefault="00676B86" w:rsidP="00676B86">
      <w:pPr>
        <w:rPr>
          <w:rFonts w:ascii="Times New Roman" w:hAnsi="Times New Roman" w:cs="Times New Roman"/>
          <w:b/>
          <w:bCs/>
          <w:sz w:val="24"/>
          <w:szCs w:val="24"/>
          <w:lang w:val="kk-KZ"/>
        </w:rPr>
      </w:pPr>
      <w:r w:rsidRPr="00207176">
        <w:rPr>
          <w:rFonts w:ascii="Times New Roman" w:hAnsi="Times New Roman" w:cs="Times New Roman"/>
          <w:b/>
          <w:bCs/>
          <w:sz w:val="24"/>
          <w:szCs w:val="24"/>
          <w:lang w:val="kk-KZ"/>
        </w:rPr>
        <w:t xml:space="preserve">ПС 5-6 </w:t>
      </w:r>
      <w:bookmarkStart w:id="0" w:name="_Hlk52906443"/>
      <w:r w:rsidRPr="00207176">
        <w:rPr>
          <w:rFonts w:ascii="Times New Roman" w:hAnsi="Times New Roman" w:cs="Times New Roman"/>
          <w:b/>
          <w:bCs/>
          <w:sz w:val="24"/>
          <w:szCs w:val="24"/>
          <w:lang w:val="kk-KZ"/>
        </w:rPr>
        <w:t>Жергілікті жерлерде еңбек ресурстарын ұйымдастыру</w:t>
      </w:r>
      <w:bookmarkEnd w:id="0"/>
    </w:p>
    <w:p w14:paraId="2ADFF5DA" w14:textId="77777777" w:rsidR="00676B86" w:rsidRPr="00830990" w:rsidRDefault="00676B86" w:rsidP="00676B86">
      <w:pPr>
        <w:rPr>
          <w:rFonts w:ascii="Times New Roman" w:hAnsi="Times New Roman" w:cs="Times New Roman"/>
          <w:sz w:val="24"/>
          <w:szCs w:val="24"/>
          <w:lang w:val="kk-KZ"/>
        </w:rPr>
      </w:pPr>
      <w:r w:rsidRPr="008D389C">
        <w:rPr>
          <w:rFonts w:ascii="Times New Roman" w:hAnsi="Times New Roman" w:cs="Times New Roman"/>
          <w:b/>
          <w:bCs/>
          <w:sz w:val="24"/>
          <w:szCs w:val="24"/>
          <w:lang w:val="kk-KZ"/>
        </w:rPr>
        <w:t>Сабақтың мақсаты</w:t>
      </w:r>
      <w:r>
        <w:rPr>
          <w:rFonts w:ascii="Times New Roman" w:hAnsi="Times New Roman" w:cs="Times New Roman"/>
          <w:b/>
          <w:bCs/>
          <w:sz w:val="24"/>
          <w:szCs w:val="24"/>
          <w:lang w:val="kk-KZ"/>
        </w:rPr>
        <w:t>-</w:t>
      </w:r>
      <w:r w:rsidRPr="00830990">
        <w:rPr>
          <w:rFonts w:ascii="Times New Roman" w:hAnsi="Times New Roman" w:cs="Times New Roman"/>
          <w:sz w:val="24"/>
          <w:szCs w:val="24"/>
          <w:lang w:val="kk-KZ"/>
        </w:rPr>
        <w:t xml:space="preserve"> магистранттарға</w:t>
      </w:r>
      <w:r>
        <w:rPr>
          <w:rFonts w:ascii="Times New Roman" w:hAnsi="Times New Roman" w:cs="Times New Roman"/>
          <w:sz w:val="24"/>
          <w:szCs w:val="24"/>
          <w:lang w:val="kk-KZ"/>
        </w:rPr>
        <w:t xml:space="preserve"> ж</w:t>
      </w:r>
      <w:r w:rsidRPr="009A2970">
        <w:rPr>
          <w:rFonts w:ascii="Times New Roman" w:hAnsi="Times New Roman" w:cs="Times New Roman"/>
          <w:sz w:val="24"/>
          <w:szCs w:val="24"/>
          <w:lang w:val="kk-KZ"/>
        </w:rPr>
        <w:t>ергілікті жерлерде еңбек ресурстарын ұйымдастыру</w:t>
      </w:r>
      <w:r>
        <w:rPr>
          <w:rFonts w:ascii="Times New Roman" w:hAnsi="Times New Roman" w:cs="Times New Roman"/>
          <w:sz w:val="24"/>
          <w:szCs w:val="24"/>
          <w:lang w:val="kk-KZ"/>
        </w:rPr>
        <w:t>дағы ішкі және сыртқы факторлардың әсерлерін талқылау</w:t>
      </w:r>
    </w:p>
    <w:p w14:paraId="6CE77001" w14:textId="77777777" w:rsidR="00676B86" w:rsidRPr="008D389C" w:rsidRDefault="00676B86" w:rsidP="00676B86">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Талқылау сұрақтары:</w:t>
      </w:r>
    </w:p>
    <w:p w14:paraId="05C0BEF8" w14:textId="77777777" w:rsidR="00676B86" w:rsidRPr="008D389C" w:rsidRDefault="00676B86" w:rsidP="00676B86">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 xml:space="preserve"> 1.</w:t>
      </w:r>
      <w:r w:rsidRPr="00A6134A">
        <w:rPr>
          <w:rFonts w:ascii="Times New Roman" w:hAnsi="Times New Roman" w:cs="Times New Roman"/>
          <w:sz w:val="24"/>
          <w:szCs w:val="24"/>
          <w:lang w:val="kk-KZ"/>
        </w:rPr>
        <w:t xml:space="preserve"> </w:t>
      </w:r>
      <w:r w:rsidRPr="009A2970">
        <w:rPr>
          <w:rFonts w:ascii="Times New Roman" w:hAnsi="Times New Roman" w:cs="Times New Roman"/>
          <w:sz w:val="24"/>
          <w:szCs w:val="24"/>
          <w:lang w:val="kk-KZ"/>
        </w:rPr>
        <w:t>Жергілікті жерлерде еңбек ресурстарын ұйымдастыру</w:t>
      </w:r>
      <w:r>
        <w:rPr>
          <w:rFonts w:ascii="Times New Roman" w:hAnsi="Times New Roman" w:cs="Times New Roman"/>
          <w:sz w:val="24"/>
          <w:szCs w:val="24"/>
          <w:lang w:val="kk-KZ"/>
        </w:rPr>
        <w:t xml:space="preserve"> ерекшеліктері </w:t>
      </w:r>
    </w:p>
    <w:p w14:paraId="4E6AD316" w14:textId="77777777" w:rsidR="00676B86" w:rsidRPr="009C1538" w:rsidRDefault="00676B86" w:rsidP="00676B86">
      <w:pPr>
        <w:spacing w:after="0" w:line="240" w:lineRule="auto"/>
        <w:rPr>
          <w:rFonts w:ascii="Times New Roman" w:hAnsi="Times New Roman" w:cs="Times New Roman"/>
          <w:sz w:val="24"/>
          <w:szCs w:val="24"/>
          <w:lang w:val="kk-KZ"/>
        </w:rPr>
      </w:pPr>
      <w:r w:rsidRPr="009C1538">
        <w:rPr>
          <w:rFonts w:ascii="Times New Roman" w:hAnsi="Times New Roman" w:cs="Times New Roman"/>
          <w:b/>
          <w:bCs/>
          <w:sz w:val="24"/>
          <w:szCs w:val="24"/>
          <w:lang w:val="kk-KZ"/>
        </w:rPr>
        <w:t>2</w:t>
      </w:r>
      <w:r w:rsidRPr="009C1538">
        <w:rPr>
          <w:rFonts w:ascii="Times New Roman" w:hAnsi="Times New Roman" w:cs="Times New Roman"/>
          <w:sz w:val="24"/>
          <w:szCs w:val="24"/>
          <w:lang w:val="kk-KZ"/>
        </w:rPr>
        <w:t>. Жергілікті жерлердегі  еңбек көрсеткіштерін талқылау</w:t>
      </w:r>
    </w:p>
    <w:p w14:paraId="7330C629" w14:textId="77777777" w:rsidR="00676B86" w:rsidRDefault="00676B86" w:rsidP="00676B86">
      <w:pPr>
        <w:rPr>
          <w:rFonts w:ascii="Times New Roman" w:hAnsi="Times New Roman" w:cs="Times New Roman"/>
          <w:b/>
          <w:bCs/>
          <w:sz w:val="24"/>
          <w:szCs w:val="24"/>
          <w:lang w:val="kk-KZ"/>
        </w:rPr>
      </w:pPr>
    </w:p>
    <w:p w14:paraId="312F0490" w14:textId="77777777" w:rsidR="00676B86" w:rsidRPr="008D389C" w:rsidRDefault="00676B86" w:rsidP="00676B86">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Сабақты өткізу формасы-</w:t>
      </w:r>
      <w:r w:rsidRPr="009C1538">
        <w:rPr>
          <w:rFonts w:ascii="Times New Roman" w:hAnsi="Times New Roman" w:cs="Times New Roman"/>
          <w:sz w:val="24"/>
          <w:szCs w:val="24"/>
          <w:lang w:val="kk-KZ"/>
        </w:rPr>
        <w:t>жергілікті еңбек көрсеткіштеріне есеп шығару</w:t>
      </w:r>
    </w:p>
    <w:p w14:paraId="73CED0EA" w14:textId="77777777" w:rsidR="00676B86" w:rsidRPr="005E4A7F" w:rsidRDefault="00676B86" w:rsidP="00676B86">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Қызметкерлердің  уәждемелік мінез-құлқын бағалау</w:t>
      </w:r>
    </w:p>
    <w:p w14:paraId="6031A195" w14:textId="77777777" w:rsidR="00676B86" w:rsidRPr="005E4A7F" w:rsidRDefault="00676B86" w:rsidP="00676B86">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ab/>
      </w:r>
      <w:r w:rsidRPr="005E4A7F">
        <w:rPr>
          <w:rFonts w:ascii="Times New Roman" w:eastAsia="Times New Roman" w:hAnsi="Times New Roman" w:cs="Times New Roman"/>
          <w:b/>
          <w:sz w:val="24"/>
          <w:szCs w:val="24"/>
          <w:lang w:val="kk-KZ" w:eastAsia="ru-RU"/>
        </w:rPr>
        <w:tab/>
      </w:r>
      <w:r w:rsidRPr="005E4A7F">
        <w:rPr>
          <w:rFonts w:ascii="Times New Roman" w:eastAsia="Times New Roman" w:hAnsi="Times New Roman" w:cs="Times New Roman"/>
          <w:b/>
          <w:sz w:val="24"/>
          <w:szCs w:val="24"/>
          <w:lang w:val="kk-KZ" w:eastAsia="ru-RU"/>
        </w:rPr>
        <w:tab/>
      </w:r>
      <w:r w:rsidRPr="005E4A7F">
        <w:rPr>
          <w:rFonts w:ascii="Times New Roman" w:eastAsia="Times New Roman" w:hAnsi="Times New Roman" w:cs="Times New Roman"/>
          <w:b/>
          <w:sz w:val="24"/>
          <w:szCs w:val="24"/>
          <w:lang w:val="kk-KZ" w:eastAsia="ru-RU"/>
        </w:rPr>
        <w:tab/>
        <w:t xml:space="preserve">( жағдай ) </w:t>
      </w:r>
    </w:p>
    <w:p w14:paraId="6B10C5A4" w14:textId="77777777" w:rsidR="00676B86" w:rsidRPr="005E4A7F" w:rsidRDefault="00676B86" w:rsidP="00676B86">
      <w:pPr>
        <w:spacing w:after="0" w:line="240" w:lineRule="auto"/>
        <w:jc w:val="both"/>
        <w:rPr>
          <w:rFonts w:ascii="Times New Roman" w:eastAsia="Times New Roman" w:hAnsi="Times New Roman" w:cs="Times New Roman"/>
          <w:b/>
          <w:sz w:val="24"/>
          <w:szCs w:val="24"/>
          <w:lang w:val="kk-KZ" w:eastAsia="ru-RU"/>
        </w:rPr>
      </w:pPr>
    </w:p>
    <w:p w14:paraId="7D7B0FB9" w14:textId="77777777" w:rsidR="00676B86" w:rsidRPr="005E4A7F" w:rsidRDefault="00676B86" w:rsidP="00676B86">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Талқыланатын  сұрақтар:</w:t>
      </w:r>
    </w:p>
    <w:p w14:paraId="751722D1" w14:textId="77777777" w:rsidR="00676B86" w:rsidRPr="005E4A7F" w:rsidRDefault="00676B86" w:rsidP="00676B86">
      <w:pPr>
        <w:numPr>
          <w:ilvl w:val="0"/>
          <w:numId w:val="2"/>
        </w:num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1-ші магистрант </w:t>
      </w:r>
      <w:r w:rsidRPr="005E4A7F">
        <w:rPr>
          <w:rFonts w:ascii="Times New Roman" w:eastAsia="Times New Roman" w:hAnsi="Times New Roman" w:cs="Times New Roman"/>
          <w:sz w:val="24"/>
          <w:szCs w:val="24"/>
          <w:lang w:val="kk-KZ" w:eastAsia="ru-RU"/>
        </w:rPr>
        <w:t>мырза осы әңгімеден қандай мақсатқа жетуді негіздеді?</w:t>
      </w:r>
    </w:p>
    <w:p w14:paraId="139F9A73" w14:textId="77777777" w:rsidR="00676B86" w:rsidRPr="005E4A7F" w:rsidRDefault="00676B86" w:rsidP="00676B86">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Әңгіменің дұрыс аяқталуы үшін қандай фактор әсер етті?</w:t>
      </w:r>
    </w:p>
    <w:p w14:paraId="6CF4DE41" w14:textId="77777777" w:rsidR="00676B86" w:rsidRPr="005E4A7F" w:rsidRDefault="00676B86" w:rsidP="00676B86">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Қандай факторлар қарым-қатынасқа кедергілер тудырды?</w:t>
      </w:r>
    </w:p>
    <w:p w14:paraId="08FF5176" w14:textId="77777777" w:rsidR="00676B86" w:rsidRPr="005E4A7F" w:rsidRDefault="00676B86" w:rsidP="00676B86">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Қандай деңгейде және қалайша эмоция сұхбатқа әсер етті?</w:t>
      </w:r>
    </w:p>
    <w:p w14:paraId="45E4DA6F"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1-ші магистрант</w:t>
      </w:r>
      <w:r w:rsidRPr="005E4A7F">
        <w:rPr>
          <w:rFonts w:ascii="Times New Roman" w:eastAsia="Times New Roman" w:hAnsi="Times New Roman" w:cs="Times New Roman"/>
          <w:sz w:val="24"/>
          <w:szCs w:val="24"/>
          <w:lang w:val="kk-KZ" w:eastAsia="ru-RU"/>
        </w:rPr>
        <w:t xml:space="preserve"> тарапынан</w:t>
      </w:r>
    </w:p>
    <w:p w14:paraId="779CA17F"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2-ші магистрант </w:t>
      </w:r>
      <w:r w:rsidRPr="005E4A7F">
        <w:rPr>
          <w:rFonts w:ascii="Times New Roman" w:eastAsia="Times New Roman" w:hAnsi="Times New Roman" w:cs="Times New Roman"/>
          <w:sz w:val="24"/>
          <w:szCs w:val="24"/>
          <w:lang w:val="kk-KZ" w:eastAsia="ru-RU"/>
        </w:rPr>
        <w:t xml:space="preserve"> мырза тарапынан</w:t>
      </w:r>
    </w:p>
    <w:p w14:paraId="4EEC88C9"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5. Осы сияқты эмоцияларды тудыру үшін қандай көзқарастар әсер етті?</w:t>
      </w:r>
    </w:p>
    <w:p w14:paraId="63486667"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6. Нақты өмірде осындай жағдайлар табысты өтуі үшін не жасау қажет, нелерді есте сақтау керек?</w:t>
      </w:r>
    </w:p>
    <w:p w14:paraId="6B8D6005"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p>
    <w:p w14:paraId="29A9A185"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 xml:space="preserve">Мақсаты: Іскелік ойынның өту әдісін көрсету. </w:t>
      </w:r>
      <w:r w:rsidRPr="005E4A7F">
        <w:rPr>
          <w:rFonts w:ascii="Times New Roman" w:eastAsia="Times New Roman" w:hAnsi="Times New Roman" w:cs="Times New Roman"/>
          <w:sz w:val="24"/>
          <w:szCs w:val="24"/>
          <w:lang w:val="kk-KZ" w:eastAsia="ru-RU"/>
        </w:rPr>
        <w:t>Барлық қатысушыларға түсініктеме:</w:t>
      </w:r>
    </w:p>
    <w:p w14:paraId="6BA62EF9"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1-ші магистрант</w:t>
      </w:r>
      <w:r w:rsidRPr="005E4A7F">
        <w:rPr>
          <w:rFonts w:ascii="Times New Roman" w:eastAsia="Times New Roman" w:hAnsi="Times New Roman" w:cs="Times New Roman"/>
          <w:sz w:val="24"/>
          <w:szCs w:val="24"/>
          <w:lang w:val="kk-KZ" w:eastAsia="ru-RU"/>
        </w:rPr>
        <w:t xml:space="preserve"> басқаратын бөлім үш бөлімшеден тұрады – </w:t>
      </w:r>
      <w:r w:rsidRPr="005E4A7F">
        <w:rPr>
          <w:rFonts w:ascii="Times New Roman" w:eastAsia="Times New Roman" w:hAnsi="Times New Roman" w:cs="Times New Roman"/>
          <w:i/>
          <w:sz w:val="24"/>
          <w:szCs w:val="24"/>
          <w:lang w:val="kk-KZ" w:eastAsia="ru-RU"/>
        </w:rPr>
        <w:t xml:space="preserve">қаржылық, әкімшілік және оқу. </w:t>
      </w:r>
      <w:r>
        <w:rPr>
          <w:rFonts w:ascii="Times New Roman" w:eastAsia="Times New Roman" w:hAnsi="Times New Roman" w:cs="Times New Roman"/>
          <w:sz w:val="24"/>
          <w:szCs w:val="24"/>
          <w:lang w:val="kk-KZ" w:eastAsia="ru-RU"/>
        </w:rPr>
        <w:t>2-ші магистрант</w:t>
      </w:r>
      <w:r w:rsidRPr="005E4A7F">
        <w:rPr>
          <w:rFonts w:ascii="Times New Roman" w:eastAsia="Times New Roman" w:hAnsi="Times New Roman" w:cs="Times New Roman"/>
          <w:sz w:val="24"/>
          <w:szCs w:val="24"/>
          <w:lang w:val="kk-KZ" w:eastAsia="ru-RU"/>
        </w:rPr>
        <w:t xml:space="preserve"> мырза – осы бөлімдегі әкімшілік бөлімшесінің бастығы </w:t>
      </w:r>
    </w:p>
    <w:p w14:paraId="6165077B"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Осы ойын шартына сәйкес </w:t>
      </w:r>
      <w:r>
        <w:rPr>
          <w:rFonts w:ascii="Times New Roman" w:eastAsia="Times New Roman" w:hAnsi="Times New Roman" w:cs="Times New Roman"/>
          <w:sz w:val="24"/>
          <w:szCs w:val="24"/>
          <w:lang w:val="kk-KZ" w:eastAsia="ru-RU"/>
        </w:rPr>
        <w:t>1-ші магистрат</w:t>
      </w:r>
      <w:r w:rsidRPr="005E4A7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2-ші магистрантпен</w:t>
      </w:r>
      <w:r w:rsidRPr="005E4A7F">
        <w:rPr>
          <w:rFonts w:ascii="Times New Roman" w:eastAsia="Times New Roman" w:hAnsi="Times New Roman" w:cs="Times New Roman"/>
          <w:sz w:val="24"/>
          <w:szCs w:val="24"/>
          <w:lang w:val="kk-KZ" w:eastAsia="ru-RU"/>
        </w:rPr>
        <w:t xml:space="preserve"> ол басқарып отырған бөлімшенің жұмыс тиімділігін талқылауы тиіс.</w:t>
      </w:r>
    </w:p>
    <w:p w14:paraId="7BDCF1CA"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Бұрынғы орнындағы өте жақсы жұмысына байланысты басқарма бастығының ұсынысымен. </w:t>
      </w:r>
      <w:r>
        <w:rPr>
          <w:rFonts w:ascii="Times New Roman" w:eastAsia="Times New Roman" w:hAnsi="Times New Roman" w:cs="Times New Roman"/>
          <w:sz w:val="24"/>
          <w:szCs w:val="24"/>
          <w:lang w:val="kk-KZ" w:eastAsia="ru-RU"/>
        </w:rPr>
        <w:t>2-ші магистрант</w:t>
      </w:r>
      <w:r w:rsidRPr="005E4A7F">
        <w:rPr>
          <w:rFonts w:ascii="Times New Roman" w:eastAsia="Times New Roman" w:hAnsi="Times New Roman" w:cs="Times New Roman"/>
          <w:sz w:val="24"/>
          <w:szCs w:val="24"/>
          <w:lang w:val="kk-KZ" w:eastAsia="ru-RU"/>
        </w:rPr>
        <w:t xml:space="preserve"> бұл жұмысқа жақында ғана ауысқан болатын.</w:t>
      </w:r>
    </w:p>
    <w:p w14:paraId="6634D91A"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1-ші магистрант</w:t>
      </w:r>
      <w:r w:rsidRPr="005E4A7F">
        <w:rPr>
          <w:rFonts w:ascii="Times New Roman" w:eastAsia="Times New Roman" w:hAnsi="Times New Roman" w:cs="Times New Roman"/>
          <w:sz w:val="24"/>
          <w:szCs w:val="24"/>
          <w:lang w:val="kk-KZ" w:eastAsia="ru-RU"/>
        </w:rPr>
        <w:t xml:space="preserve"> басқарып отырған бөлім ірі ұйымның филиалы болып табылады.</w:t>
      </w:r>
    </w:p>
    <w:p w14:paraId="1479AB11" w14:textId="77777777" w:rsidR="00676B86" w:rsidRPr="005E4A7F" w:rsidRDefault="00676B86" w:rsidP="00676B86">
      <w:pPr>
        <w:spacing w:after="0" w:line="240" w:lineRule="auto"/>
        <w:jc w:val="both"/>
        <w:rPr>
          <w:rFonts w:ascii="Times New Roman" w:eastAsia="Times New Roman" w:hAnsi="Times New Roman" w:cs="Times New Roman"/>
          <w:b/>
          <w:sz w:val="24"/>
          <w:szCs w:val="24"/>
          <w:lang w:val="kk-KZ" w:eastAsia="ru-RU"/>
        </w:rPr>
      </w:pPr>
    </w:p>
    <w:p w14:paraId="1AA45EE1" w14:textId="77777777" w:rsidR="00676B86" w:rsidRPr="005E4A7F" w:rsidRDefault="00676B86" w:rsidP="00676B86">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 xml:space="preserve">Бөлім басшысы  </w:t>
      </w:r>
      <w:r>
        <w:rPr>
          <w:rFonts w:ascii="Times New Roman" w:eastAsia="Times New Roman" w:hAnsi="Times New Roman" w:cs="Times New Roman"/>
          <w:b/>
          <w:sz w:val="24"/>
          <w:szCs w:val="24"/>
          <w:lang w:val="kk-KZ" w:eastAsia="ru-RU"/>
        </w:rPr>
        <w:t xml:space="preserve">1-ші магистрант </w:t>
      </w:r>
      <w:r w:rsidRPr="005E4A7F">
        <w:rPr>
          <w:rFonts w:ascii="Times New Roman" w:eastAsia="Times New Roman" w:hAnsi="Times New Roman" w:cs="Times New Roman"/>
          <w:b/>
          <w:sz w:val="24"/>
          <w:szCs w:val="24"/>
          <w:lang w:val="kk-KZ" w:eastAsia="ru-RU"/>
        </w:rPr>
        <w:t>рөлі:</w:t>
      </w:r>
    </w:p>
    <w:p w14:paraId="2ED89DF4" w14:textId="77777777" w:rsidR="00676B86" w:rsidRPr="005E4A7F" w:rsidRDefault="00676B86" w:rsidP="00676B86">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Сіз басқаратын бөлімнің жұмыс тиімділігін тез арада арттыруға басшылық тарапынан сізге айтарлықтай талап қойылып жатыр.Сіздің ойыңызша, әкімшілік бөлімшесінде тәртіп өте нашар және ол сізді қанағаттандырмайды.</w:t>
      </w:r>
      <w:r>
        <w:rPr>
          <w:rFonts w:ascii="Times New Roman" w:eastAsia="Times New Roman" w:hAnsi="Times New Roman" w:cs="Times New Roman"/>
          <w:sz w:val="24"/>
          <w:szCs w:val="24"/>
          <w:lang w:val="kk-KZ" w:eastAsia="ru-RU"/>
        </w:rPr>
        <w:t xml:space="preserve"> 2-ші магистрант</w:t>
      </w:r>
      <w:r w:rsidRPr="005E4A7F">
        <w:rPr>
          <w:rFonts w:ascii="Times New Roman" w:eastAsia="Times New Roman" w:hAnsi="Times New Roman" w:cs="Times New Roman"/>
          <w:sz w:val="24"/>
          <w:szCs w:val="24"/>
          <w:lang w:val="kk-KZ" w:eastAsia="ru-RU"/>
        </w:rPr>
        <w:t xml:space="preserve"> мырза сыртпен байланысты соңғы тапсырманы жақсы орындады.Ол жер учаскесін тазарту үшін қажетті тракторды жалдауға келісіп келді,бұқаралық ақпарат құралдарында бөлімінің оқыту бағдарламасын жариялауды қамтамсыз етті.</w:t>
      </w:r>
    </w:p>
    <w:p w14:paraId="473066AB"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Бірақ, сіз </w:t>
      </w:r>
      <w:r>
        <w:rPr>
          <w:rFonts w:ascii="Times New Roman" w:eastAsia="Times New Roman" w:hAnsi="Times New Roman" w:cs="Times New Roman"/>
          <w:sz w:val="24"/>
          <w:szCs w:val="24"/>
          <w:lang w:val="kk-KZ" w:eastAsia="ru-RU"/>
        </w:rPr>
        <w:t>2-ші магистрант</w:t>
      </w:r>
      <w:r w:rsidRPr="005E4A7F">
        <w:rPr>
          <w:rFonts w:ascii="Times New Roman" w:eastAsia="Times New Roman" w:hAnsi="Times New Roman" w:cs="Times New Roman"/>
          <w:sz w:val="24"/>
          <w:szCs w:val="24"/>
          <w:lang w:val="kk-KZ" w:eastAsia="ru-RU"/>
        </w:rPr>
        <w:t xml:space="preserve">  мырзаның дәл қазір қатаң тәртіп орнатуға оншалықты көңіл бөлмей, салақтық жасағанына ренжудесіз.</w:t>
      </w:r>
    </w:p>
    <w:p w14:paraId="26DF7D79"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Жекелей айтсақ, сіз кешігіп келетін адамдарды жақтырмайсыз.Ал әкімшілік бөлімшеде бұл іс - әрект кең етек алған.Мысалы:  </w:t>
      </w:r>
      <w:r>
        <w:rPr>
          <w:rFonts w:ascii="Times New Roman" w:eastAsia="Times New Roman" w:hAnsi="Times New Roman" w:cs="Times New Roman"/>
          <w:sz w:val="24"/>
          <w:szCs w:val="24"/>
          <w:lang w:val="kk-KZ" w:eastAsia="ru-RU"/>
        </w:rPr>
        <w:t>2-ші магистрант</w:t>
      </w:r>
      <w:r w:rsidRPr="005E4A7F">
        <w:rPr>
          <w:rFonts w:ascii="Times New Roman" w:eastAsia="Times New Roman" w:hAnsi="Times New Roman" w:cs="Times New Roman"/>
          <w:sz w:val="24"/>
          <w:szCs w:val="24"/>
          <w:lang w:val="kk-KZ" w:eastAsia="ru-RU"/>
        </w:rPr>
        <w:t xml:space="preserve"> өзі және оның кейбір қызметкерлері кеше жұмысқа кешігіп келді.</w:t>
      </w:r>
    </w:p>
    <w:p w14:paraId="66DD4C25"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Одан басқа, сіз</w:t>
      </w:r>
      <w:r>
        <w:rPr>
          <w:rFonts w:ascii="Times New Roman" w:eastAsia="Times New Roman" w:hAnsi="Times New Roman" w:cs="Times New Roman"/>
          <w:sz w:val="24"/>
          <w:szCs w:val="24"/>
          <w:lang w:val="kk-KZ" w:eastAsia="ru-RU"/>
        </w:rPr>
        <w:t xml:space="preserve"> 2-ші магистрант</w:t>
      </w:r>
      <w:r w:rsidRPr="005E4A7F">
        <w:rPr>
          <w:rFonts w:ascii="Times New Roman" w:eastAsia="Times New Roman" w:hAnsi="Times New Roman" w:cs="Times New Roman"/>
          <w:sz w:val="24"/>
          <w:szCs w:val="24"/>
          <w:lang w:val="kk-KZ" w:eastAsia="ru-RU"/>
        </w:rPr>
        <w:t xml:space="preserve"> өткен аптада көлік құралдарын техникалық жөндеуден өткізу кестесін дайындап, компютерге басып әкелуді сұрадыңыз. Сіз </w:t>
      </w:r>
      <w:r>
        <w:rPr>
          <w:rFonts w:ascii="Times New Roman" w:eastAsia="Times New Roman" w:hAnsi="Times New Roman" w:cs="Times New Roman"/>
          <w:sz w:val="24"/>
          <w:szCs w:val="24"/>
          <w:lang w:val="kk-KZ" w:eastAsia="ru-RU"/>
        </w:rPr>
        <w:t>2-ші магистрант</w:t>
      </w:r>
      <w:r w:rsidRPr="005E4A7F">
        <w:rPr>
          <w:rFonts w:ascii="Times New Roman" w:eastAsia="Times New Roman" w:hAnsi="Times New Roman" w:cs="Times New Roman"/>
          <w:sz w:val="24"/>
          <w:szCs w:val="24"/>
          <w:lang w:val="kk-KZ" w:eastAsia="ru-RU"/>
        </w:rPr>
        <w:t xml:space="preserve"> мырзадан қайсы автокөлік келесі кезеңде жөндеуден өтеді деп сұрағанда, ол: «білмеймін, бұл жұмысты өз қызметкерлеріме тапсырғанмын, бірақ та,оның қайда екенін хабарсызбын?!», - деп дұрыс жауап бермеді.</w:t>
      </w:r>
    </w:p>
    <w:p w14:paraId="52BF0254"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Сіз,дәл қазір онымен, оның жұмысқа деген қарым-қатынасы жайлы жақсылап сөйлесу керек деп санайсыз.Сіз оған өзіңіздің кабинетіңізге кіріп кетуді сұрадыңыз.</w:t>
      </w:r>
    </w:p>
    <w:p w14:paraId="04C93705"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lastRenderedPageBreak/>
        <w:t>( Ойын барысында айтылған мәліметтермен шектеліңіз)</w:t>
      </w:r>
    </w:p>
    <w:p w14:paraId="365080E0" w14:textId="77777777" w:rsidR="00676B86" w:rsidRPr="005E4A7F" w:rsidRDefault="00676B86" w:rsidP="00676B86">
      <w:pPr>
        <w:spacing w:after="0" w:line="240" w:lineRule="auto"/>
        <w:jc w:val="both"/>
        <w:rPr>
          <w:rFonts w:ascii="Times New Roman" w:eastAsia="Times New Roman" w:hAnsi="Times New Roman" w:cs="Times New Roman"/>
          <w:b/>
          <w:sz w:val="24"/>
          <w:szCs w:val="24"/>
          <w:lang w:val="kk-KZ" w:eastAsia="ru-RU"/>
        </w:rPr>
      </w:pPr>
    </w:p>
    <w:p w14:paraId="496CE4D8" w14:textId="77777777" w:rsidR="00676B86" w:rsidRPr="005E4A7F" w:rsidRDefault="00676B86" w:rsidP="00676B86">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 xml:space="preserve">Бөлімше басшысы </w:t>
      </w:r>
      <w:r>
        <w:rPr>
          <w:rFonts w:ascii="Times New Roman" w:eastAsia="Times New Roman" w:hAnsi="Times New Roman" w:cs="Times New Roman"/>
          <w:b/>
          <w:sz w:val="24"/>
          <w:szCs w:val="24"/>
          <w:lang w:val="kk-KZ" w:eastAsia="ru-RU"/>
        </w:rPr>
        <w:t>2-ші магистрант</w:t>
      </w:r>
      <w:r w:rsidRPr="005E4A7F">
        <w:rPr>
          <w:rFonts w:ascii="Times New Roman" w:eastAsia="Times New Roman" w:hAnsi="Times New Roman" w:cs="Times New Roman"/>
          <w:b/>
          <w:sz w:val="24"/>
          <w:szCs w:val="24"/>
          <w:lang w:val="kk-KZ" w:eastAsia="ru-RU"/>
        </w:rPr>
        <w:t xml:space="preserve"> мырзаның рөлі:</w:t>
      </w:r>
    </w:p>
    <w:p w14:paraId="719419A4"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Жаңа  жұмысқа орналасуыңызға байланысты сіз өзіңіздің бұрынғы еңбегіңізді қадірлегеніне және алдыңыздағы болашаңызға ризасыз.</w:t>
      </w:r>
    </w:p>
    <w:p w14:paraId="59A8AD5A"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Жаңа жұмыс сізге өте жауапты сияқты.Сізге қызметкерлерімен көп мәселелерді шешу керек, бірақ олармен әлі тығыз айналысқан жоқсыз. Жаңа басшыңыз сізді өз қызметкерлерімен жұмыс істей алмайды екен деп ойлағанын қаламайсыз.</w:t>
      </w:r>
    </w:p>
    <w:p w14:paraId="370F2A71"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Сізге </w:t>
      </w:r>
      <w:r>
        <w:rPr>
          <w:rFonts w:ascii="Times New Roman" w:eastAsia="Times New Roman" w:hAnsi="Times New Roman" w:cs="Times New Roman"/>
          <w:sz w:val="24"/>
          <w:szCs w:val="24"/>
          <w:lang w:val="kk-KZ" w:eastAsia="ru-RU"/>
        </w:rPr>
        <w:t>1-ші магистрант</w:t>
      </w:r>
      <w:r w:rsidRPr="005E4A7F">
        <w:rPr>
          <w:rFonts w:ascii="Times New Roman" w:eastAsia="Times New Roman" w:hAnsi="Times New Roman" w:cs="Times New Roman"/>
          <w:sz w:val="24"/>
          <w:szCs w:val="24"/>
          <w:lang w:val="kk-KZ" w:eastAsia="ru-RU"/>
        </w:rPr>
        <w:t xml:space="preserve"> мырза өте шыдамсыз сияқты.Өткен аптада ол сізден автокөліктерді техникалық жөндеуден өткізу туралы кестені дайындауды сұраған. Бұл жұмысты өз қоластыңыздағылардың біреуіне орындауға бердіңіз, бірақ ол қойған сұрағына сіздің жауап бере алмағаныңызға және ол құжаттардың қайда екнін білмегеніңізге өте қатты таң қалды.</w:t>
      </w:r>
    </w:p>
    <w:p w14:paraId="5BDBF53C"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Соңғы екі апта бойы сіз өзіңіздің сыртқы мекемелерімен қатынасты жақсартып, орындаған екі жұмысыңыздв мақтаныш тұтып жүрген едіңіз.Сіз жер учаскісін тазалау үшін тракторды жалдауға келістіңіз.Ол үшін біраз күш жұмсауға тура келді.Сіз өз ұжымыңыздың кейбір жобаларды үшін өте қажет жарнаманы жасауды бұқаралық ақпарат құралдарын тарту арқылы жүзеге асырдыңыз.Сол себепті  </w:t>
      </w:r>
      <w:r>
        <w:rPr>
          <w:rFonts w:ascii="Times New Roman" w:eastAsia="Times New Roman" w:hAnsi="Times New Roman" w:cs="Times New Roman"/>
          <w:sz w:val="24"/>
          <w:szCs w:val="24"/>
          <w:lang w:val="kk-KZ" w:eastAsia="ru-RU"/>
        </w:rPr>
        <w:t>1-ші магистрант</w:t>
      </w:r>
      <w:r w:rsidRPr="005E4A7F">
        <w:rPr>
          <w:rFonts w:ascii="Times New Roman" w:eastAsia="Times New Roman" w:hAnsi="Times New Roman" w:cs="Times New Roman"/>
          <w:sz w:val="24"/>
          <w:szCs w:val="24"/>
          <w:lang w:val="kk-KZ" w:eastAsia="ru-RU"/>
        </w:rPr>
        <w:t xml:space="preserve"> мырза сіздің әректіңізді дұрыс бағалауға тиісті деп санайсыз.</w:t>
      </w:r>
    </w:p>
    <w:p w14:paraId="205BE3E1"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Қазір ғана ол сізді бір ауыз әңгімеге шақырды.Сіз бүгін өз орныңызға уақытылы болғаныңызға өте қуанышты болып отырсыз.Кеше сіздің әйеліңіз демалысқа кеткен еді және басқа да жеке бастың мәселелерінің кесірінен сіз өз орныңызға уақытылы бола алмай қалдыңыз.</w:t>
      </w:r>
    </w:p>
    <w:p w14:paraId="0041E37E"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p>
    <w:p w14:paraId="7AC10773" w14:textId="77777777" w:rsidR="00676B86" w:rsidRPr="005E4A7F" w:rsidRDefault="00676B86" w:rsidP="00676B86">
      <w:pPr>
        <w:spacing w:after="0" w:line="240" w:lineRule="auto"/>
        <w:jc w:val="both"/>
        <w:rPr>
          <w:rFonts w:ascii="Times New Roman" w:eastAsia="Times New Roman" w:hAnsi="Times New Roman" w:cs="Times New Roman"/>
          <w:b/>
          <w:i/>
          <w:sz w:val="24"/>
          <w:szCs w:val="24"/>
          <w:lang w:val="kk-KZ" w:eastAsia="ru-RU"/>
        </w:rPr>
      </w:pPr>
      <w:r w:rsidRPr="005E4A7F">
        <w:rPr>
          <w:rFonts w:ascii="Times New Roman" w:eastAsia="Times New Roman" w:hAnsi="Times New Roman" w:cs="Times New Roman"/>
          <w:b/>
          <w:i/>
          <w:sz w:val="24"/>
          <w:szCs w:val="24"/>
          <w:lang w:val="kk-KZ" w:eastAsia="ru-RU"/>
        </w:rPr>
        <w:t>Мақсаты: Іскерлік ойынның өту әдісін көрсету.</w:t>
      </w:r>
    </w:p>
    <w:p w14:paraId="5A47CD33"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Барлық қатысушыларға түсініктеме.</w:t>
      </w:r>
    </w:p>
    <w:p w14:paraId="0F980083"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1-ші магистрант</w:t>
      </w:r>
      <w:r w:rsidRPr="005E4A7F">
        <w:rPr>
          <w:rFonts w:ascii="Times New Roman" w:eastAsia="Times New Roman" w:hAnsi="Times New Roman" w:cs="Times New Roman"/>
          <w:sz w:val="24"/>
          <w:szCs w:val="24"/>
          <w:lang w:val="kk-KZ" w:eastAsia="ru-RU"/>
        </w:rPr>
        <w:t xml:space="preserve"> мырза басқаратын бөлім үш бөлімшеден тұрады – </w:t>
      </w:r>
      <w:r w:rsidRPr="005E4A7F">
        <w:rPr>
          <w:rFonts w:ascii="Times New Roman" w:eastAsia="Times New Roman" w:hAnsi="Times New Roman" w:cs="Times New Roman"/>
          <w:i/>
          <w:sz w:val="24"/>
          <w:szCs w:val="24"/>
          <w:lang w:val="kk-KZ" w:eastAsia="ru-RU"/>
        </w:rPr>
        <w:t xml:space="preserve">қаржылық, әкімшілік және оқу. </w:t>
      </w:r>
      <w:r>
        <w:rPr>
          <w:rFonts w:ascii="Times New Roman" w:eastAsia="Times New Roman" w:hAnsi="Times New Roman" w:cs="Times New Roman"/>
          <w:sz w:val="24"/>
          <w:szCs w:val="24"/>
          <w:lang w:val="kk-KZ" w:eastAsia="ru-RU"/>
        </w:rPr>
        <w:t>2-ші магистрант</w:t>
      </w:r>
      <w:r w:rsidRPr="005E4A7F">
        <w:rPr>
          <w:rFonts w:ascii="Times New Roman" w:eastAsia="Times New Roman" w:hAnsi="Times New Roman" w:cs="Times New Roman"/>
          <w:sz w:val="24"/>
          <w:szCs w:val="24"/>
          <w:lang w:val="kk-KZ" w:eastAsia="ru-RU"/>
        </w:rPr>
        <w:t xml:space="preserve">  мырза – осы бөлімдегі әкімшілік бөлімшесінің бастығ</w:t>
      </w:r>
    </w:p>
    <w:p w14:paraId="5558530B" w14:textId="77777777" w:rsidR="00676B86" w:rsidRPr="005E4A7F" w:rsidRDefault="00676B86" w:rsidP="00676B86">
      <w:pPr>
        <w:spacing w:after="0" w:line="240" w:lineRule="auto"/>
        <w:jc w:val="both"/>
        <w:rPr>
          <w:rFonts w:ascii="Times New Roman" w:eastAsia="Times New Roman" w:hAnsi="Times New Roman" w:cs="Times New Roman"/>
          <w:sz w:val="24"/>
          <w:szCs w:val="24"/>
          <w:lang w:val="kk-KZ" w:eastAsia="ru-RU"/>
        </w:rPr>
      </w:pPr>
    </w:p>
    <w:p w14:paraId="3876A257" w14:textId="77777777" w:rsidR="00676B86" w:rsidRPr="005E4A7F" w:rsidRDefault="00676B86" w:rsidP="00676B86">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1-кесте. Қажеттілікті жүзеге асыруға керекті дәлелденген жолдарды табу үшін ынталандыру түрлері</w:t>
      </w:r>
    </w:p>
    <w:p w14:paraId="3A3EB92D" w14:textId="77777777" w:rsidR="00676B86" w:rsidRPr="005E4A7F" w:rsidRDefault="00676B86" w:rsidP="00676B86">
      <w:pPr>
        <w:spacing w:after="0" w:line="240" w:lineRule="auto"/>
        <w:jc w:val="both"/>
        <w:rPr>
          <w:rFonts w:ascii="Times New Roman" w:eastAsia="Times New Roman" w:hAnsi="Times New Roman" w:cs="Times New Roman"/>
          <w:b/>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02"/>
        <w:gridCol w:w="816"/>
        <w:gridCol w:w="1796"/>
        <w:gridCol w:w="516"/>
        <w:gridCol w:w="579"/>
        <w:gridCol w:w="1839"/>
        <w:gridCol w:w="490"/>
        <w:gridCol w:w="493"/>
      </w:tblGrid>
      <w:tr w:rsidR="00676B86" w:rsidRPr="005E4A7F" w14:paraId="734829E0" w14:textId="77777777" w:rsidTr="00AC65AD">
        <w:tc>
          <w:tcPr>
            <w:tcW w:w="1213" w:type="dxa"/>
            <w:vMerge w:val="restart"/>
          </w:tcPr>
          <w:p w14:paraId="1352B776" w14:textId="77777777" w:rsidR="00676B86" w:rsidRPr="005E4A7F" w:rsidRDefault="00676B86"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Белсенді талаптар</w:t>
            </w:r>
          </w:p>
        </w:tc>
        <w:tc>
          <w:tcPr>
            <w:tcW w:w="2524" w:type="dxa"/>
            <w:gridSpan w:val="2"/>
          </w:tcPr>
          <w:p w14:paraId="6754E19D"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Белсенді талаптарды жүзеге асыруға болатын жолдары</w:t>
            </w:r>
          </w:p>
        </w:tc>
        <w:tc>
          <w:tcPr>
            <w:tcW w:w="2938" w:type="dxa"/>
            <w:gridSpan w:val="3"/>
          </w:tcPr>
          <w:p w14:paraId="3E602345" w14:textId="77777777" w:rsidR="00676B86" w:rsidRPr="005E4A7F" w:rsidRDefault="00676B86" w:rsidP="00AC65AD">
            <w:pPr>
              <w:spacing w:after="0" w:line="240" w:lineRule="auto"/>
              <w:jc w:val="center"/>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Сыйақы жүйесі</w:t>
            </w:r>
          </w:p>
        </w:tc>
        <w:tc>
          <w:tcPr>
            <w:tcW w:w="2896" w:type="dxa"/>
            <w:gridSpan w:val="3"/>
          </w:tcPr>
          <w:p w14:paraId="0935E2BD"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Әлеуетті қанағаттандыратын талаптар жүйесі</w:t>
            </w:r>
          </w:p>
        </w:tc>
      </w:tr>
      <w:tr w:rsidR="00676B86" w:rsidRPr="005E4A7F" w14:paraId="1D94E4FE" w14:textId="77777777" w:rsidTr="00AC65AD">
        <w:trPr>
          <w:cantSplit/>
          <w:trHeight w:val="1134"/>
        </w:trPr>
        <w:tc>
          <w:tcPr>
            <w:tcW w:w="1213" w:type="dxa"/>
            <w:vMerge/>
          </w:tcPr>
          <w:p w14:paraId="327B5F93"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602" w:type="dxa"/>
          </w:tcPr>
          <w:p w14:paraId="420E6524" w14:textId="77777777" w:rsidR="00676B86" w:rsidRPr="005E4A7F" w:rsidRDefault="00676B86" w:rsidP="00AC65AD">
            <w:pPr>
              <w:spacing w:after="0" w:line="240" w:lineRule="auto"/>
              <w:jc w:val="center"/>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Атауы</w:t>
            </w:r>
          </w:p>
        </w:tc>
        <w:tc>
          <w:tcPr>
            <w:tcW w:w="922" w:type="dxa"/>
            <w:textDirection w:val="btLr"/>
          </w:tcPr>
          <w:p w14:paraId="3D4AEEA5" w14:textId="77777777" w:rsidR="00676B86" w:rsidRPr="005E4A7F" w:rsidRDefault="00676B86" w:rsidP="00AC65AD">
            <w:pPr>
              <w:spacing w:after="0" w:line="240" w:lineRule="auto"/>
              <w:ind w:right="113"/>
              <w:jc w:val="both"/>
              <w:rPr>
                <w:rFonts w:ascii="Times New Roman" w:eastAsia="Times New Roman" w:hAnsi="Times New Roman" w:cs="Times New Roman"/>
                <w:sz w:val="16"/>
                <w:szCs w:val="16"/>
                <w:lang w:val="kk-KZ" w:eastAsia="ru-RU"/>
              </w:rPr>
            </w:pPr>
            <w:r w:rsidRPr="005E4A7F">
              <w:rPr>
                <w:rFonts w:ascii="Times New Roman" w:eastAsia="Times New Roman" w:hAnsi="Times New Roman" w:cs="Times New Roman"/>
                <w:sz w:val="16"/>
                <w:szCs w:val="16"/>
                <w:lang w:val="kk-KZ" w:eastAsia="ru-RU"/>
              </w:rPr>
              <w:t xml:space="preserve">Жүзеге асыру мүмкіндігі </w:t>
            </w:r>
            <w:r w:rsidRPr="005E4A7F">
              <w:rPr>
                <w:rFonts w:ascii="Times New Roman" w:eastAsia="Times New Roman" w:hAnsi="Times New Roman" w:cs="Times New Roman"/>
                <w:sz w:val="16"/>
                <w:szCs w:val="16"/>
                <w:lang w:val="ru-RU" w:eastAsia="ru-RU"/>
              </w:rPr>
              <w:t>%</w:t>
            </w:r>
          </w:p>
        </w:tc>
        <w:tc>
          <w:tcPr>
            <w:tcW w:w="1796" w:type="dxa"/>
          </w:tcPr>
          <w:p w14:paraId="7EB1FE3D" w14:textId="77777777" w:rsidR="00676B86" w:rsidRPr="005E4A7F" w:rsidRDefault="00676B86" w:rsidP="00AC65AD">
            <w:pPr>
              <w:spacing w:after="0" w:line="240" w:lineRule="auto"/>
              <w:jc w:val="center"/>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Атауы</w:t>
            </w:r>
          </w:p>
        </w:tc>
        <w:tc>
          <w:tcPr>
            <w:tcW w:w="537" w:type="dxa"/>
            <w:textDirection w:val="btLr"/>
          </w:tcPr>
          <w:p w14:paraId="0D73633F" w14:textId="77777777" w:rsidR="00676B86" w:rsidRPr="005E4A7F" w:rsidRDefault="00676B86" w:rsidP="00AC65AD">
            <w:pPr>
              <w:spacing w:after="0" w:line="240" w:lineRule="auto"/>
              <w:ind w:right="113"/>
              <w:jc w:val="both"/>
              <w:rPr>
                <w:rFonts w:ascii="Times New Roman" w:eastAsia="Times New Roman" w:hAnsi="Times New Roman" w:cs="Times New Roman"/>
                <w:b/>
                <w:sz w:val="28"/>
                <w:szCs w:val="28"/>
                <w:lang w:val="kk-KZ" w:eastAsia="ru-RU"/>
              </w:rPr>
            </w:pPr>
            <w:r w:rsidRPr="005E4A7F">
              <w:rPr>
                <w:rFonts w:ascii="Times New Roman" w:eastAsia="Times New Roman" w:hAnsi="Times New Roman" w:cs="Times New Roman"/>
                <w:sz w:val="18"/>
                <w:szCs w:val="18"/>
                <w:lang w:val="kk-KZ" w:eastAsia="ru-RU"/>
              </w:rPr>
              <w:t>Алу мүмкіндігі</w:t>
            </w:r>
            <w:r w:rsidRPr="005E4A7F">
              <w:rPr>
                <w:rFonts w:ascii="Times New Roman" w:eastAsia="Times New Roman" w:hAnsi="Times New Roman" w:cs="Times New Roman"/>
                <w:b/>
                <w:sz w:val="28"/>
                <w:szCs w:val="28"/>
                <w:lang w:val="kk-KZ" w:eastAsia="ru-RU"/>
              </w:rPr>
              <w:t xml:space="preserve">  </w:t>
            </w:r>
            <w:r w:rsidRPr="005E4A7F">
              <w:rPr>
                <w:rFonts w:ascii="Times New Roman" w:eastAsia="Times New Roman" w:hAnsi="Times New Roman" w:cs="Times New Roman"/>
                <w:sz w:val="16"/>
                <w:szCs w:val="16"/>
                <w:lang w:val="kk-KZ" w:eastAsia="ru-RU"/>
              </w:rPr>
              <w:t xml:space="preserve"> </w:t>
            </w:r>
            <w:r w:rsidRPr="005E4A7F">
              <w:rPr>
                <w:rFonts w:ascii="Times New Roman" w:eastAsia="Times New Roman" w:hAnsi="Times New Roman" w:cs="Times New Roman"/>
                <w:sz w:val="16"/>
                <w:szCs w:val="16"/>
                <w:lang w:val="ru-RU" w:eastAsia="ru-RU"/>
              </w:rPr>
              <w:t>%</w:t>
            </w:r>
          </w:p>
        </w:tc>
        <w:tc>
          <w:tcPr>
            <w:tcW w:w="605" w:type="dxa"/>
            <w:textDirection w:val="btLr"/>
          </w:tcPr>
          <w:p w14:paraId="1EB32FBF" w14:textId="77777777" w:rsidR="00676B86" w:rsidRPr="005E4A7F" w:rsidRDefault="00676B86" w:rsidP="00AC65AD">
            <w:pPr>
              <w:spacing w:after="0" w:line="240" w:lineRule="auto"/>
              <w:ind w:right="113"/>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 xml:space="preserve">Валенттілік </w:t>
            </w:r>
            <w:r w:rsidRPr="005E4A7F">
              <w:rPr>
                <w:rFonts w:ascii="Times New Roman" w:eastAsia="Times New Roman" w:hAnsi="Times New Roman" w:cs="Times New Roman"/>
                <w:lang w:val="en-US" w:eastAsia="ru-RU"/>
              </w:rPr>
              <w:t>V</w:t>
            </w:r>
            <w:r w:rsidRPr="005E4A7F">
              <w:rPr>
                <w:rFonts w:ascii="Times New Roman" w:eastAsia="Times New Roman" w:hAnsi="Times New Roman" w:cs="Times New Roman"/>
                <w:sz w:val="18"/>
                <w:szCs w:val="18"/>
                <w:lang w:val="kk-KZ" w:eastAsia="ru-RU"/>
              </w:rPr>
              <w:t>в</w:t>
            </w:r>
          </w:p>
        </w:tc>
        <w:tc>
          <w:tcPr>
            <w:tcW w:w="1895" w:type="dxa"/>
          </w:tcPr>
          <w:p w14:paraId="5B3B6D47" w14:textId="77777777" w:rsidR="00676B86" w:rsidRPr="005E4A7F" w:rsidRDefault="00676B86"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Атауы</w:t>
            </w:r>
          </w:p>
        </w:tc>
        <w:tc>
          <w:tcPr>
            <w:tcW w:w="505" w:type="dxa"/>
            <w:textDirection w:val="btLr"/>
          </w:tcPr>
          <w:p w14:paraId="11DC3428" w14:textId="77777777" w:rsidR="00676B86" w:rsidRPr="005E4A7F" w:rsidRDefault="00676B86" w:rsidP="00AC65AD">
            <w:pPr>
              <w:spacing w:after="0" w:line="240" w:lineRule="auto"/>
              <w:ind w:right="113"/>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 xml:space="preserve">Қанағаттандыру мүмкіндігі  </w:t>
            </w:r>
            <w:r w:rsidRPr="005E4A7F">
              <w:rPr>
                <w:rFonts w:ascii="Times New Roman" w:eastAsia="Times New Roman" w:hAnsi="Times New Roman" w:cs="Times New Roman"/>
                <w:sz w:val="16"/>
                <w:szCs w:val="16"/>
                <w:lang w:val="ru-RU" w:eastAsia="ru-RU"/>
              </w:rPr>
              <w:t>%</w:t>
            </w:r>
          </w:p>
        </w:tc>
        <w:tc>
          <w:tcPr>
            <w:tcW w:w="496" w:type="dxa"/>
            <w:textDirection w:val="btLr"/>
          </w:tcPr>
          <w:p w14:paraId="47C9A392" w14:textId="77777777" w:rsidR="00676B86" w:rsidRPr="005E4A7F" w:rsidRDefault="00676B86" w:rsidP="00AC65AD">
            <w:pPr>
              <w:spacing w:after="0" w:line="240" w:lineRule="auto"/>
              <w:ind w:right="113"/>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 xml:space="preserve">Валенттілік </w:t>
            </w:r>
            <w:r w:rsidRPr="005E4A7F">
              <w:rPr>
                <w:rFonts w:ascii="Times New Roman" w:eastAsia="Times New Roman" w:hAnsi="Times New Roman" w:cs="Times New Roman"/>
                <w:lang w:val="en-US" w:eastAsia="ru-RU"/>
              </w:rPr>
              <w:t>V</w:t>
            </w:r>
            <w:r w:rsidRPr="005E4A7F">
              <w:rPr>
                <w:rFonts w:ascii="Times New Roman" w:eastAsia="Times New Roman" w:hAnsi="Times New Roman" w:cs="Times New Roman"/>
                <w:sz w:val="18"/>
                <w:szCs w:val="18"/>
                <w:lang w:val="kk-KZ" w:eastAsia="ru-RU"/>
              </w:rPr>
              <w:t>п</w:t>
            </w:r>
          </w:p>
        </w:tc>
      </w:tr>
      <w:tr w:rsidR="00676B86" w:rsidRPr="005E4A7F" w14:paraId="50139378" w14:textId="77777777" w:rsidTr="00AC65AD">
        <w:trPr>
          <w:trHeight w:val="450"/>
        </w:trPr>
        <w:tc>
          <w:tcPr>
            <w:tcW w:w="1213" w:type="dxa"/>
            <w:vMerge w:val="restart"/>
          </w:tcPr>
          <w:p w14:paraId="7421ACA7" w14:textId="77777777" w:rsidR="00676B86" w:rsidRPr="005E4A7F" w:rsidRDefault="00676B86"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Жеке меншікке автомобиль алу</w:t>
            </w:r>
          </w:p>
        </w:tc>
        <w:tc>
          <w:tcPr>
            <w:tcW w:w="1602" w:type="dxa"/>
            <w:vMerge w:val="restart"/>
          </w:tcPr>
          <w:p w14:paraId="4AE96E57" w14:textId="77777777" w:rsidR="00676B86" w:rsidRPr="005E4A7F" w:rsidRDefault="00676B86"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1.Лизингтік фирмасымен кейінгі сатып алу құқығында, автомобильді алу туралы шарт жасау</w:t>
            </w:r>
          </w:p>
        </w:tc>
        <w:tc>
          <w:tcPr>
            <w:tcW w:w="922" w:type="dxa"/>
            <w:vMerge w:val="restart"/>
          </w:tcPr>
          <w:p w14:paraId="783ADA31"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04D17ACC"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1.1.Материалдық пайда табу</w:t>
            </w:r>
          </w:p>
        </w:tc>
        <w:tc>
          <w:tcPr>
            <w:tcW w:w="537" w:type="dxa"/>
          </w:tcPr>
          <w:p w14:paraId="73609449"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5B25ACDA"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4F651C9B"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1.1.1.Жеке меншікке автокөлік алу</w:t>
            </w:r>
          </w:p>
        </w:tc>
        <w:tc>
          <w:tcPr>
            <w:tcW w:w="505" w:type="dxa"/>
          </w:tcPr>
          <w:p w14:paraId="75075859"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35D539B5"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r>
      <w:tr w:rsidR="00676B86" w:rsidRPr="005E4A7F" w14:paraId="471732D4" w14:textId="77777777" w:rsidTr="00AC65AD">
        <w:trPr>
          <w:trHeight w:val="360"/>
        </w:trPr>
        <w:tc>
          <w:tcPr>
            <w:tcW w:w="1213" w:type="dxa"/>
            <w:vMerge/>
          </w:tcPr>
          <w:p w14:paraId="1A0D3DB6" w14:textId="77777777" w:rsidR="00676B86" w:rsidRPr="005E4A7F" w:rsidRDefault="00676B86" w:rsidP="00AC65AD">
            <w:pPr>
              <w:spacing w:after="0" w:line="240" w:lineRule="auto"/>
              <w:jc w:val="both"/>
              <w:rPr>
                <w:rFonts w:ascii="Times New Roman" w:eastAsia="Times New Roman" w:hAnsi="Times New Roman" w:cs="Times New Roman"/>
                <w:sz w:val="20"/>
                <w:szCs w:val="20"/>
                <w:lang w:val="kk-KZ" w:eastAsia="ru-RU"/>
              </w:rPr>
            </w:pPr>
          </w:p>
        </w:tc>
        <w:tc>
          <w:tcPr>
            <w:tcW w:w="1602" w:type="dxa"/>
            <w:vMerge/>
          </w:tcPr>
          <w:p w14:paraId="09051DCD" w14:textId="77777777" w:rsidR="00676B86" w:rsidRPr="005E4A7F" w:rsidRDefault="00676B86" w:rsidP="00AC65AD">
            <w:pPr>
              <w:spacing w:after="0" w:line="240" w:lineRule="auto"/>
              <w:jc w:val="both"/>
              <w:rPr>
                <w:rFonts w:ascii="Times New Roman" w:eastAsia="Times New Roman" w:hAnsi="Times New Roman" w:cs="Times New Roman"/>
                <w:sz w:val="20"/>
                <w:szCs w:val="20"/>
                <w:lang w:val="kk-KZ" w:eastAsia="ru-RU"/>
              </w:rPr>
            </w:pPr>
          </w:p>
        </w:tc>
        <w:tc>
          <w:tcPr>
            <w:tcW w:w="922" w:type="dxa"/>
            <w:vMerge/>
          </w:tcPr>
          <w:p w14:paraId="2454FB2B"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6B347536"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1.2. Түрлі материал шығындарын төмендету</w:t>
            </w:r>
          </w:p>
        </w:tc>
        <w:tc>
          <w:tcPr>
            <w:tcW w:w="537" w:type="dxa"/>
          </w:tcPr>
          <w:p w14:paraId="56819B97"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453ADD2D"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7E43E1B5"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1.1.2.Ұжымда мәртебесін көтеру</w:t>
            </w:r>
          </w:p>
        </w:tc>
        <w:tc>
          <w:tcPr>
            <w:tcW w:w="505" w:type="dxa"/>
          </w:tcPr>
          <w:p w14:paraId="0D36DF35"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0D1DB0E0"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r>
      <w:tr w:rsidR="00676B86" w:rsidRPr="005E4A7F" w14:paraId="21588329" w14:textId="77777777" w:rsidTr="00AC65AD">
        <w:trPr>
          <w:trHeight w:val="780"/>
        </w:trPr>
        <w:tc>
          <w:tcPr>
            <w:tcW w:w="1213" w:type="dxa"/>
            <w:vMerge/>
          </w:tcPr>
          <w:p w14:paraId="6005C45B" w14:textId="77777777" w:rsidR="00676B86" w:rsidRPr="005E4A7F" w:rsidRDefault="00676B86" w:rsidP="00AC65AD">
            <w:pPr>
              <w:spacing w:after="0" w:line="240" w:lineRule="auto"/>
              <w:jc w:val="both"/>
              <w:rPr>
                <w:rFonts w:ascii="Times New Roman" w:eastAsia="Times New Roman" w:hAnsi="Times New Roman" w:cs="Times New Roman"/>
                <w:sz w:val="20"/>
                <w:szCs w:val="20"/>
                <w:lang w:val="kk-KZ" w:eastAsia="ru-RU"/>
              </w:rPr>
            </w:pPr>
          </w:p>
        </w:tc>
        <w:tc>
          <w:tcPr>
            <w:tcW w:w="1602" w:type="dxa"/>
            <w:vMerge/>
          </w:tcPr>
          <w:p w14:paraId="584AD2FD" w14:textId="77777777" w:rsidR="00676B86" w:rsidRPr="005E4A7F" w:rsidRDefault="00676B86" w:rsidP="00AC65AD">
            <w:pPr>
              <w:spacing w:after="0" w:line="240" w:lineRule="auto"/>
              <w:jc w:val="both"/>
              <w:rPr>
                <w:rFonts w:ascii="Times New Roman" w:eastAsia="Times New Roman" w:hAnsi="Times New Roman" w:cs="Times New Roman"/>
                <w:sz w:val="20"/>
                <w:szCs w:val="20"/>
                <w:lang w:val="kk-KZ" w:eastAsia="ru-RU"/>
              </w:rPr>
            </w:pPr>
          </w:p>
        </w:tc>
        <w:tc>
          <w:tcPr>
            <w:tcW w:w="922" w:type="dxa"/>
            <w:vMerge/>
          </w:tcPr>
          <w:p w14:paraId="498D1E62"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45D373B6"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1.3.Уақыт және жылжу маршрутын таңдаудағы тәуелсіздік</w:t>
            </w:r>
          </w:p>
        </w:tc>
        <w:tc>
          <w:tcPr>
            <w:tcW w:w="537" w:type="dxa"/>
          </w:tcPr>
          <w:p w14:paraId="5C0AEC5A"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2A1A0D5E"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447F8C5D"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1.1.3.Өзін-өзі сыйлаудың өсуі</w:t>
            </w:r>
          </w:p>
        </w:tc>
        <w:tc>
          <w:tcPr>
            <w:tcW w:w="505" w:type="dxa"/>
          </w:tcPr>
          <w:p w14:paraId="6C38B4FB"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56840249"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r>
      <w:tr w:rsidR="00676B86" w:rsidRPr="005E4A7F" w14:paraId="76FF5878" w14:textId="77777777" w:rsidTr="00AC65AD">
        <w:trPr>
          <w:trHeight w:val="270"/>
        </w:trPr>
        <w:tc>
          <w:tcPr>
            <w:tcW w:w="1213" w:type="dxa"/>
            <w:vMerge w:val="restart"/>
          </w:tcPr>
          <w:p w14:paraId="5BAC9129"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602" w:type="dxa"/>
            <w:vMerge w:val="restart"/>
          </w:tcPr>
          <w:p w14:paraId="0649C6DD"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2.Фирманың сату мөлшерін өсіру және өз еңбегі үшін көбірек сыйақы алу</w:t>
            </w:r>
          </w:p>
        </w:tc>
        <w:tc>
          <w:tcPr>
            <w:tcW w:w="922" w:type="dxa"/>
            <w:vMerge w:val="restart"/>
          </w:tcPr>
          <w:p w14:paraId="575EAE27"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664BEBE7"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2.1.Басшылықпен қатынасты жақсарту</w:t>
            </w:r>
          </w:p>
        </w:tc>
        <w:tc>
          <w:tcPr>
            <w:tcW w:w="537" w:type="dxa"/>
          </w:tcPr>
          <w:p w14:paraId="09A5DFAD"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3B82B2C2"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20109E2F"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2.1.1.Жеке меншікке автокөлік алу</w:t>
            </w:r>
          </w:p>
        </w:tc>
        <w:tc>
          <w:tcPr>
            <w:tcW w:w="505" w:type="dxa"/>
          </w:tcPr>
          <w:p w14:paraId="38914585"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3824CDFE"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r>
      <w:tr w:rsidR="00676B86" w:rsidRPr="005E4A7F" w14:paraId="6C36F9BA" w14:textId="77777777" w:rsidTr="00AC65AD">
        <w:trPr>
          <w:trHeight w:val="165"/>
        </w:trPr>
        <w:tc>
          <w:tcPr>
            <w:tcW w:w="1213" w:type="dxa"/>
            <w:vMerge/>
          </w:tcPr>
          <w:p w14:paraId="3CF1F392"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602" w:type="dxa"/>
            <w:vMerge/>
          </w:tcPr>
          <w:p w14:paraId="291A0B2C"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p>
        </w:tc>
        <w:tc>
          <w:tcPr>
            <w:tcW w:w="922" w:type="dxa"/>
            <w:vMerge/>
          </w:tcPr>
          <w:p w14:paraId="672B565F"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049D6DFB"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2.2.Қызмет сатысында көтерілу мүмкіндігі</w:t>
            </w:r>
          </w:p>
        </w:tc>
        <w:tc>
          <w:tcPr>
            <w:tcW w:w="537" w:type="dxa"/>
          </w:tcPr>
          <w:p w14:paraId="2690E624"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1FD9B026"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7D4756B3"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2.1.2.Ұжымдағы өз мәртебесін жоғарылату</w:t>
            </w:r>
          </w:p>
        </w:tc>
        <w:tc>
          <w:tcPr>
            <w:tcW w:w="505" w:type="dxa"/>
          </w:tcPr>
          <w:p w14:paraId="34D61A5F"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14BE8668"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r>
      <w:tr w:rsidR="00676B86" w:rsidRPr="005E4A7F" w14:paraId="0F0DB9E9" w14:textId="77777777" w:rsidTr="00AC65AD">
        <w:trPr>
          <w:trHeight w:val="570"/>
        </w:trPr>
        <w:tc>
          <w:tcPr>
            <w:tcW w:w="1213" w:type="dxa"/>
            <w:vMerge/>
          </w:tcPr>
          <w:p w14:paraId="14174C62"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602" w:type="dxa"/>
            <w:vMerge/>
          </w:tcPr>
          <w:p w14:paraId="5CDA1029"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p>
        </w:tc>
        <w:tc>
          <w:tcPr>
            <w:tcW w:w="922" w:type="dxa"/>
            <w:vMerge/>
          </w:tcPr>
          <w:p w14:paraId="34AAD674"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18F1E6A7"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2.3.Қызметтестердің көре алмаушығы</w:t>
            </w:r>
          </w:p>
        </w:tc>
        <w:tc>
          <w:tcPr>
            <w:tcW w:w="537" w:type="dxa"/>
          </w:tcPr>
          <w:p w14:paraId="132A4539"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57AE6A28"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592B6130"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3.1.1.Жеке пайдалануға автокөлік сатып алу</w:t>
            </w:r>
          </w:p>
        </w:tc>
        <w:tc>
          <w:tcPr>
            <w:tcW w:w="505" w:type="dxa"/>
          </w:tcPr>
          <w:p w14:paraId="703C546A"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557F4883"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r>
      <w:tr w:rsidR="00676B86" w:rsidRPr="005E4A7F" w14:paraId="09BB5115" w14:textId="77777777" w:rsidTr="00AC65AD">
        <w:trPr>
          <w:trHeight w:val="285"/>
        </w:trPr>
        <w:tc>
          <w:tcPr>
            <w:tcW w:w="1213" w:type="dxa"/>
            <w:vMerge w:val="restart"/>
          </w:tcPr>
          <w:p w14:paraId="1CA1DDD6"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602" w:type="dxa"/>
            <w:vMerge w:val="restart"/>
          </w:tcPr>
          <w:p w14:paraId="08C82B72" w14:textId="77777777" w:rsidR="00676B86" w:rsidRPr="005E4A7F" w:rsidRDefault="00676B86"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 xml:space="preserve">3. «Бинго»лотерия </w:t>
            </w:r>
            <w:r w:rsidRPr="005E4A7F">
              <w:rPr>
                <w:rFonts w:ascii="Times New Roman" w:eastAsia="Times New Roman" w:hAnsi="Times New Roman" w:cs="Times New Roman"/>
                <w:sz w:val="20"/>
                <w:szCs w:val="20"/>
                <w:lang w:val="kk-KZ" w:eastAsia="ru-RU"/>
              </w:rPr>
              <w:lastRenderedPageBreak/>
              <w:t>ойынына қатысу</w:t>
            </w:r>
          </w:p>
        </w:tc>
        <w:tc>
          <w:tcPr>
            <w:tcW w:w="922" w:type="dxa"/>
            <w:vMerge w:val="restart"/>
          </w:tcPr>
          <w:p w14:paraId="02375995"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20746034"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3.1.Қажетті қаржы шығындарын күрт төмендету</w:t>
            </w:r>
          </w:p>
        </w:tc>
        <w:tc>
          <w:tcPr>
            <w:tcW w:w="537" w:type="dxa"/>
          </w:tcPr>
          <w:p w14:paraId="2B9B71C7"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0568A355"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1A4EA4A9"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3.1.1Жеке пайдалануға автокөлік сатып алу</w:t>
            </w:r>
          </w:p>
        </w:tc>
        <w:tc>
          <w:tcPr>
            <w:tcW w:w="505" w:type="dxa"/>
          </w:tcPr>
          <w:p w14:paraId="560FA463"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31223E43"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r>
      <w:tr w:rsidR="00676B86" w:rsidRPr="005E4A7F" w14:paraId="01768A12" w14:textId="77777777" w:rsidTr="00AC65AD">
        <w:trPr>
          <w:trHeight w:val="180"/>
        </w:trPr>
        <w:tc>
          <w:tcPr>
            <w:tcW w:w="1213" w:type="dxa"/>
            <w:vMerge/>
          </w:tcPr>
          <w:p w14:paraId="722243B4"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602" w:type="dxa"/>
            <w:vMerge/>
          </w:tcPr>
          <w:p w14:paraId="278C4F9F" w14:textId="77777777" w:rsidR="00676B86" w:rsidRPr="005E4A7F" w:rsidRDefault="00676B86" w:rsidP="00AC65AD">
            <w:pPr>
              <w:spacing w:after="0" w:line="240" w:lineRule="auto"/>
              <w:jc w:val="both"/>
              <w:rPr>
                <w:rFonts w:ascii="Times New Roman" w:eastAsia="Times New Roman" w:hAnsi="Times New Roman" w:cs="Times New Roman"/>
                <w:sz w:val="20"/>
                <w:szCs w:val="20"/>
                <w:lang w:val="kk-KZ" w:eastAsia="ru-RU"/>
              </w:rPr>
            </w:pPr>
          </w:p>
        </w:tc>
        <w:tc>
          <w:tcPr>
            <w:tcW w:w="922" w:type="dxa"/>
            <w:vMerge/>
          </w:tcPr>
          <w:p w14:paraId="4CD74AB9"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796" w:type="dxa"/>
          </w:tcPr>
          <w:p w14:paraId="7A5A6B61"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3.2.Құмарта ойнағаннан жаңа әсер алу</w:t>
            </w:r>
          </w:p>
        </w:tc>
        <w:tc>
          <w:tcPr>
            <w:tcW w:w="537" w:type="dxa"/>
          </w:tcPr>
          <w:p w14:paraId="79D64FB6"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605" w:type="dxa"/>
          </w:tcPr>
          <w:p w14:paraId="2DBCF37A"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1895" w:type="dxa"/>
          </w:tcPr>
          <w:p w14:paraId="44D55AA0" w14:textId="77777777" w:rsidR="00676B86" w:rsidRPr="005E4A7F" w:rsidRDefault="00676B86"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3.1.2.Қызғылықты бос уақыт</w:t>
            </w:r>
          </w:p>
        </w:tc>
        <w:tc>
          <w:tcPr>
            <w:tcW w:w="505" w:type="dxa"/>
          </w:tcPr>
          <w:p w14:paraId="480274A8"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c>
          <w:tcPr>
            <w:tcW w:w="496" w:type="dxa"/>
          </w:tcPr>
          <w:p w14:paraId="21422447" w14:textId="77777777" w:rsidR="00676B86" w:rsidRPr="005E4A7F" w:rsidRDefault="00676B86" w:rsidP="00AC65AD">
            <w:pPr>
              <w:spacing w:after="0" w:line="240" w:lineRule="auto"/>
              <w:jc w:val="both"/>
              <w:rPr>
                <w:rFonts w:ascii="Times New Roman" w:eastAsia="Times New Roman" w:hAnsi="Times New Roman" w:cs="Times New Roman"/>
                <w:b/>
                <w:sz w:val="28"/>
                <w:szCs w:val="28"/>
                <w:lang w:val="kk-KZ" w:eastAsia="ru-RU"/>
              </w:rPr>
            </w:pPr>
          </w:p>
        </w:tc>
      </w:tr>
    </w:tbl>
    <w:p w14:paraId="3B9B7296" w14:textId="77777777" w:rsidR="00676B86" w:rsidRDefault="00676B86" w:rsidP="00676B86">
      <w:pPr>
        <w:rPr>
          <w:rFonts w:ascii="Times New Roman" w:hAnsi="Times New Roman" w:cs="Times New Roman"/>
          <w:b/>
          <w:bCs/>
          <w:sz w:val="24"/>
          <w:szCs w:val="24"/>
          <w:lang w:val="kk-KZ"/>
        </w:rPr>
      </w:pPr>
    </w:p>
    <w:p w14:paraId="5587B81D" w14:textId="77777777" w:rsidR="00676B86" w:rsidRDefault="00676B86" w:rsidP="00676B86">
      <w:pPr>
        <w:rPr>
          <w:rFonts w:ascii="Times New Roman" w:hAnsi="Times New Roman" w:cs="Times New Roman"/>
          <w:b/>
          <w:bCs/>
          <w:sz w:val="24"/>
          <w:szCs w:val="24"/>
          <w:lang w:val="kk-KZ"/>
        </w:rPr>
      </w:pPr>
    </w:p>
    <w:p w14:paraId="52AF0ABF" w14:textId="77777777" w:rsidR="00676B86" w:rsidRDefault="00676B86" w:rsidP="00676B86">
      <w:pPr>
        <w:rPr>
          <w:rFonts w:ascii="Times New Roman" w:hAnsi="Times New Roman" w:cs="Times New Roman"/>
          <w:b/>
          <w:bCs/>
          <w:sz w:val="24"/>
          <w:szCs w:val="24"/>
          <w:lang w:val="kk-KZ"/>
        </w:rPr>
      </w:pPr>
    </w:p>
    <w:p w14:paraId="203C35E7" w14:textId="77777777" w:rsidR="00676B86" w:rsidRDefault="00676B86" w:rsidP="00676B86">
      <w:pPr>
        <w:rPr>
          <w:rFonts w:ascii="Times New Roman" w:hAnsi="Times New Roman" w:cs="Times New Roman"/>
          <w:b/>
          <w:bCs/>
          <w:sz w:val="24"/>
          <w:szCs w:val="24"/>
          <w:lang w:val="kk-KZ"/>
        </w:rPr>
      </w:pPr>
    </w:p>
    <w:p w14:paraId="40ECA3B4" w14:textId="77777777" w:rsidR="00676B86" w:rsidRDefault="00676B86" w:rsidP="00676B86">
      <w:pPr>
        <w:rPr>
          <w:rFonts w:ascii="Times New Roman" w:hAnsi="Times New Roman" w:cs="Times New Roman"/>
          <w:b/>
          <w:bCs/>
          <w:sz w:val="24"/>
          <w:szCs w:val="24"/>
          <w:lang w:val="kk-KZ"/>
        </w:rPr>
      </w:pPr>
    </w:p>
    <w:p w14:paraId="5151007D" w14:textId="77777777" w:rsidR="00676B86" w:rsidRPr="008D389C" w:rsidRDefault="00676B86" w:rsidP="00676B86">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Ұсынылатын оқу әдебиеттері:</w:t>
      </w:r>
    </w:p>
    <w:p w14:paraId="2B8C9BEB" w14:textId="77777777" w:rsidR="00676B86" w:rsidRPr="00207176" w:rsidRDefault="00676B86" w:rsidP="00676B86">
      <w:pPr>
        <w:pStyle w:val="a3"/>
        <w:numPr>
          <w:ilvl w:val="0"/>
          <w:numId w:val="1"/>
        </w:numPr>
        <w:tabs>
          <w:tab w:val="left" w:pos="0"/>
        </w:tabs>
        <w:autoSpaceDE w:val="0"/>
        <w:autoSpaceDN w:val="0"/>
        <w:adjustRightInd w:val="0"/>
        <w:spacing w:after="0" w:line="240" w:lineRule="auto"/>
        <w:ind w:left="0" w:firstLine="0"/>
        <w:jc w:val="both"/>
        <w:rPr>
          <w:rFonts w:ascii="Times New Roman" w:hAnsi="Times New Roman"/>
          <w:color w:val="0000FF"/>
          <w:lang w:val="kk-KZ"/>
        </w:rPr>
      </w:pPr>
      <w:r w:rsidRPr="00207176">
        <w:rPr>
          <w:rFonts w:ascii="Times New Roman" w:eastAsia="Times New Roman" w:hAnsi="Times New Roman"/>
          <w:color w:val="000000" w:themeColor="text1"/>
          <w:spacing w:val="2"/>
          <w:sz w:val="24"/>
          <w:szCs w:val="24"/>
          <w:lang w:val="kk-KZ" w:eastAsia="kk-KZ"/>
        </w:rPr>
        <w:t>Жұмабаев С.К. Адам ресурстарын басқару- Алматы: Қазақ университеті, 2011-234 б.</w:t>
      </w:r>
    </w:p>
    <w:p w14:paraId="4C465E69" w14:textId="77777777" w:rsidR="00676B86" w:rsidRPr="00BC1A7F" w:rsidRDefault="00676B86" w:rsidP="00676B86">
      <w:pPr>
        <w:numPr>
          <w:ilvl w:val="0"/>
          <w:numId w:val="1"/>
        </w:numPr>
        <w:tabs>
          <w:tab w:val="left" w:pos="317"/>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Исабеков Б.Н., Мұхамбетова Л.Қ. Адами капитал- Эверо, 2017-200 б.</w:t>
      </w:r>
    </w:p>
    <w:p w14:paraId="42A0CC65" w14:textId="77777777" w:rsidR="00676B86" w:rsidRPr="00BC1A7F" w:rsidRDefault="00676B86" w:rsidP="00676B86">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Горелов Н.А. Управление человеческими ресурсами-М.: Юрайт, 2016-270 с.</w:t>
      </w:r>
    </w:p>
    <w:p w14:paraId="2DCE07E6" w14:textId="77777777" w:rsidR="00676B86" w:rsidRPr="00492225" w:rsidRDefault="00676B86" w:rsidP="00676B86">
      <w:pPr>
        <w:pStyle w:val="a3"/>
        <w:numPr>
          <w:ilvl w:val="0"/>
          <w:numId w:val="1"/>
        </w:numPr>
        <w:ind w:left="0" w:firstLine="0"/>
        <w:rPr>
          <w:rFonts w:ascii="Times New Roman" w:hAnsi="Times New Roman"/>
          <w:sz w:val="24"/>
          <w:szCs w:val="24"/>
          <w:lang w:val="kk-KZ"/>
        </w:rPr>
      </w:pPr>
      <w:r w:rsidRPr="00492225">
        <w:rPr>
          <w:rFonts w:ascii="Times New Roman" w:hAnsi="Times New Roman"/>
          <w:sz w:val="24"/>
          <w:szCs w:val="24"/>
          <w:lang w:val="kk-KZ"/>
        </w:rPr>
        <w:t>Дейнека А.В. Управление человеческими ресурсами-М.: Дашкова и К, 2016-392</w:t>
      </w:r>
    </w:p>
    <w:p w14:paraId="5411C7CA" w14:textId="77777777" w:rsidR="00676B86" w:rsidRPr="004755FB" w:rsidRDefault="00676B86" w:rsidP="00676B86">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4755FB">
        <w:rPr>
          <w:rFonts w:ascii="Times New Roman" w:eastAsia="Calibri" w:hAnsi="Times New Roman" w:cs="Times New Roman"/>
          <w:sz w:val="24"/>
          <w:szCs w:val="24"/>
          <w:lang w:val="kk-KZ"/>
        </w:rPr>
        <w:t>Горелов Н.А. Управление человеческими ресурсами-М.: Юрайт, 2016-270 с.</w:t>
      </w:r>
    </w:p>
    <w:p w14:paraId="492A63ED" w14:textId="77777777" w:rsidR="00676B86" w:rsidRPr="009B057E" w:rsidRDefault="00676B86" w:rsidP="00676B86">
      <w:pPr>
        <w:pStyle w:val="a3"/>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sz w:val="24"/>
          <w:szCs w:val="24"/>
          <w:lang w:val="kk-KZ"/>
        </w:rPr>
      </w:pPr>
      <w:r w:rsidRPr="009B057E">
        <w:rPr>
          <w:rFonts w:ascii="Times New Roman" w:hAnsi="Times New Roman"/>
          <w:sz w:val="24"/>
          <w:szCs w:val="24"/>
          <w:lang w:val="kk-KZ"/>
        </w:rPr>
        <w:t>Дейнека А.В. Управление человеческими ресурсами-М.: Дашкова и К, 2016-392 с.</w:t>
      </w:r>
    </w:p>
    <w:p w14:paraId="7A48693D" w14:textId="77777777" w:rsidR="00676B86" w:rsidRPr="004755FB" w:rsidRDefault="00676B86" w:rsidP="00676B86">
      <w:pPr>
        <w:pStyle w:val="a3"/>
        <w:numPr>
          <w:ilvl w:val="0"/>
          <w:numId w:val="1"/>
        </w:numPr>
        <w:tabs>
          <w:tab w:val="left" w:pos="0"/>
        </w:tabs>
        <w:autoSpaceDE w:val="0"/>
        <w:autoSpaceDN w:val="0"/>
        <w:adjustRightInd w:val="0"/>
        <w:spacing w:after="0" w:line="240" w:lineRule="auto"/>
        <w:ind w:left="0" w:firstLine="0"/>
        <w:jc w:val="both"/>
        <w:rPr>
          <w:rFonts w:ascii="Times New Roman" w:hAnsi="Times New Roman"/>
          <w:sz w:val="24"/>
          <w:szCs w:val="24"/>
          <w:lang w:val="kk-KZ"/>
        </w:rPr>
      </w:pPr>
      <w:r w:rsidRPr="004755FB">
        <w:rPr>
          <w:rFonts w:ascii="Times New Roman" w:hAnsi="Times New Roman"/>
          <w:sz w:val="24"/>
          <w:szCs w:val="24"/>
          <w:lang w:val="kk-KZ"/>
        </w:rPr>
        <w:t>Майкл  Армстронг, Стивен Тейлор Практика управления человеческими ресурсами-Санкт-Петербург: Питер, 2018-1040 с.</w:t>
      </w:r>
    </w:p>
    <w:p w14:paraId="46FA49D0" w14:textId="77777777" w:rsidR="00676B86" w:rsidRPr="009B057E" w:rsidRDefault="00676B86" w:rsidP="00676B86">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0AEE85C2" w14:textId="77777777" w:rsidR="00676B86" w:rsidRPr="00BC1A7F" w:rsidRDefault="00676B86" w:rsidP="00676B86">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Москвин С.Н. </w:t>
      </w:r>
      <w:r w:rsidRPr="00BC1A7F">
        <w:rPr>
          <w:rFonts w:ascii="Times New Roman" w:eastAsia="Calibri" w:hAnsi="Times New Roman" w:cs="Times New Roman"/>
          <w:sz w:val="24"/>
          <w:szCs w:val="24"/>
          <w:lang w:val="kk-KZ"/>
        </w:rPr>
        <w:t>Управление человеческими ресурсами</w:t>
      </w:r>
      <w:r>
        <w:rPr>
          <w:rFonts w:ascii="Times New Roman" w:eastAsia="Calibri" w:hAnsi="Times New Roman" w:cs="Times New Roman"/>
          <w:sz w:val="24"/>
          <w:szCs w:val="24"/>
          <w:lang w:val="kk-KZ"/>
        </w:rPr>
        <w:t xml:space="preserve"> -М.: Проспект, 2019-704 с.</w:t>
      </w:r>
    </w:p>
    <w:p w14:paraId="7B8E2B1B" w14:textId="77777777" w:rsidR="00676B86" w:rsidRPr="00BC1A7F" w:rsidRDefault="00676B86" w:rsidP="00676B86">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Times New Roman" w:hAnsi="Times New Roman" w:cs="Times New Roman"/>
          <w:sz w:val="24"/>
          <w:szCs w:val="24"/>
          <w:lang w:val="kk-KZ"/>
        </w:rPr>
        <w:t>Потемкин В.К. Управление персоналом-СПб.: Питер, 2018-433 с.</w:t>
      </w:r>
    </w:p>
    <w:p w14:paraId="6E815DC5" w14:textId="77777777" w:rsidR="00F66FCB" w:rsidRPr="00676B86" w:rsidRDefault="00F66FCB">
      <w:pPr>
        <w:rPr>
          <w:lang w:val="kk-KZ"/>
        </w:rPr>
      </w:pPr>
    </w:p>
    <w:sectPr w:rsidR="00F66FCB" w:rsidRPr="00676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F4E9A"/>
    <w:multiLevelType w:val="hybridMultilevel"/>
    <w:tmpl w:val="4D9EFEFE"/>
    <w:lvl w:ilvl="0" w:tplc="40BCB6E2">
      <w:start w:val="1"/>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CA21C84"/>
    <w:multiLevelType w:val="hybridMultilevel"/>
    <w:tmpl w:val="57605FDC"/>
    <w:lvl w:ilvl="0" w:tplc="5D0CEE3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CB"/>
    <w:rsid w:val="00676B86"/>
    <w:rsid w:val="00F66FC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8CEF4-EC30-41B7-B0E9-39DC2C46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B86"/>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76B86"/>
    <w:pPr>
      <w:spacing w:after="200" w:line="276" w:lineRule="auto"/>
      <w:ind w:left="720"/>
      <w:contextualSpacing/>
    </w:pPr>
    <w:rPr>
      <w:rFonts w:ascii="Calibri" w:eastAsia="Calibri" w:hAnsi="Calibri" w:cs="Times New Roman"/>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76B86"/>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5638</Characters>
  <Application>Microsoft Office Word</Application>
  <DocSecurity>0</DocSecurity>
  <Lines>46</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2</cp:revision>
  <dcterms:created xsi:type="dcterms:W3CDTF">2020-10-18T13:48:00Z</dcterms:created>
  <dcterms:modified xsi:type="dcterms:W3CDTF">2020-10-18T13:48:00Z</dcterms:modified>
</cp:coreProperties>
</file>